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45C23" w14:textId="77777777" w:rsidR="00AB0583" w:rsidRDefault="00AB0583" w:rsidP="00AB0583">
      <w:pPr>
        <w:spacing w:after="0" w:line="240" w:lineRule="auto"/>
        <w:rPr>
          <w:rFonts w:ascii="Arial" w:eastAsia="Arial" w:hAnsi="Arial" w:cs="Arial"/>
          <w:b/>
          <w:bCs/>
          <w:sz w:val="30"/>
          <w:szCs w:val="30"/>
        </w:rPr>
      </w:pPr>
      <w:r>
        <w:rPr>
          <w:rFonts w:ascii="Arial" w:eastAsia="Arial" w:hAnsi="Arial" w:cs="Arial"/>
          <w:b/>
          <w:bCs/>
          <w:sz w:val="30"/>
          <w:szCs w:val="30"/>
        </w:rPr>
        <w:t>Opere della Collezione MAXXI a Roma Arte in Nuvola</w:t>
      </w:r>
    </w:p>
    <w:p w14:paraId="078F4E4F" w14:textId="77777777" w:rsidR="008A7AEB" w:rsidRPr="008A7AEB" w:rsidRDefault="008A7AEB" w:rsidP="00AB0583">
      <w:pPr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1FBBEAE4" w14:textId="05BB7CE5" w:rsidR="008A7AEB" w:rsidRPr="0081639D" w:rsidRDefault="008A7AEB" w:rsidP="00AB0583">
      <w:pPr>
        <w:spacing w:after="0" w:line="240" w:lineRule="auto"/>
        <w:rPr>
          <w:rFonts w:ascii="Arial" w:eastAsia="Arial" w:hAnsi="Arial" w:cs="Arial"/>
          <w:b/>
          <w:bCs/>
          <w:i/>
          <w:sz w:val="28"/>
          <w:szCs w:val="28"/>
        </w:rPr>
      </w:pPr>
      <w:r w:rsidRPr="008A7AEB">
        <w:rPr>
          <w:rFonts w:ascii="Arial" w:eastAsia="Arial" w:hAnsi="Arial" w:cs="Arial"/>
          <w:b/>
          <w:bCs/>
          <w:sz w:val="28"/>
          <w:szCs w:val="28"/>
        </w:rPr>
        <w:t xml:space="preserve">Mario Airò, </w:t>
      </w:r>
      <w:r w:rsidR="0081639D" w:rsidRPr="008A7AEB">
        <w:rPr>
          <w:rFonts w:ascii="Arial" w:eastAsia="Arial" w:hAnsi="Arial" w:cs="Arial"/>
          <w:b/>
          <w:bCs/>
          <w:i/>
          <w:sz w:val="28"/>
          <w:szCs w:val="28"/>
        </w:rPr>
        <w:t>Aurora</w:t>
      </w:r>
    </w:p>
    <w:p w14:paraId="6D393713" w14:textId="77777777" w:rsidR="0081639D" w:rsidRPr="008A7AEB" w:rsidRDefault="008A7AEB" w:rsidP="0081639D">
      <w:pPr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  <w:r w:rsidRPr="008A7AEB">
        <w:rPr>
          <w:rFonts w:ascii="Arial" w:eastAsia="Arial" w:hAnsi="Arial" w:cs="Arial"/>
          <w:b/>
          <w:bCs/>
          <w:sz w:val="28"/>
          <w:szCs w:val="28"/>
        </w:rPr>
        <w:t xml:space="preserve">Giulio Paolini, </w:t>
      </w:r>
      <w:r w:rsidR="0081639D" w:rsidRPr="008A7AEB">
        <w:rPr>
          <w:rFonts w:ascii="Arial" w:eastAsia="Arial" w:hAnsi="Arial" w:cs="Arial"/>
          <w:b/>
          <w:bCs/>
          <w:i/>
          <w:sz w:val="28"/>
          <w:szCs w:val="28"/>
        </w:rPr>
        <w:t>Tre per Tre (Ognuno è l’altro o nessuno)</w:t>
      </w:r>
    </w:p>
    <w:p w14:paraId="30C0EF92" w14:textId="77777777" w:rsidR="008A7AEB" w:rsidRPr="008A7AEB" w:rsidRDefault="008A7AEB" w:rsidP="00AB0583">
      <w:pPr>
        <w:spacing w:after="0" w:line="240" w:lineRule="auto"/>
        <w:rPr>
          <w:rFonts w:ascii="Arial" w:eastAsia="Arial" w:hAnsi="Arial" w:cs="Arial"/>
          <w:b/>
          <w:i/>
          <w:sz w:val="20"/>
          <w:szCs w:val="20"/>
        </w:rPr>
      </w:pPr>
    </w:p>
    <w:p w14:paraId="74B39179" w14:textId="77777777" w:rsidR="00AB0583" w:rsidRPr="00AB0583" w:rsidRDefault="00564699" w:rsidP="00AB0583">
      <w:pPr>
        <w:pStyle w:val="Default"/>
        <w:rPr>
          <w:sz w:val="21"/>
          <w:szCs w:val="21"/>
        </w:rPr>
      </w:pPr>
      <w:r>
        <w:rPr>
          <w:rFonts w:eastAsia="Arial"/>
          <w:sz w:val="21"/>
          <w:szCs w:val="21"/>
        </w:rPr>
        <w:t xml:space="preserve">maxxi.art </w:t>
      </w:r>
      <w:r w:rsidR="0087332F" w:rsidRPr="00D86C7E">
        <w:rPr>
          <w:bCs/>
        </w:rPr>
        <w:t xml:space="preserve"> </w:t>
      </w:r>
      <w:r w:rsidR="0087332F">
        <w:rPr>
          <w:bCs/>
        </w:rPr>
        <w:t xml:space="preserve"> </w:t>
      </w:r>
      <w:r>
        <w:rPr>
          <w:rFonts w:eastAsia="Arial"/>
          <w:sz w:val="21"/>
          <w:szCs w:val="21"/>
        </w:rPr>
        <w:br/>
      </w:r>
      <w:r>
        <w:rPr>
          <w:rFonts w:eastAsia="Arial"/>
          <w:i/>
          <w:sz w:val="21"/>
          <w:szCs w:val="21"/>
        </w:rPr>
        <w:br/>
      </w:r>
      <w:r w:rsidR="00AB0583" w:rsidRPr="00AB0583">
        <w:rPr>
          <w:sz w:val="21"/>
          <w:szCs w:val="21"/>
        </w:rPr>
        <w:t xml:space="preserve">Anche quest'anno si rinnova </w:t>
      </w:r>
      <w:r w:rsidR="00AB0583">
        <w:rPr>
          <w:sz w:val="21"/>
          <w:szCs w:val="21"/>
        </w:rPr>
        <w:t xml:space="preserve">e si </w:t>
      </w:r>
      <w:r w:rsidR="00782C6E">
        <w:rPr>
          <w:sz w:val="21"/>
          <w:szCs w:val="21"/>
        </w:rPr>
        <w:t>consolida</w:t>
      </w:r>
      <w:r w:rsidR="00AB0583">
        <w:rPr>
          <w:sz w:val="21"/>
          <w:szCs w:val="21"/>
        </w:rPr>
        <w:t xml:space="preserve"> la collaborazione tra il </w:t>
      </w:r>
      <w:r w:rsidR="00AB0583" w:rsidRPr="008A7AEB">
        <w:rPr>
          <w:sz w:val="21"/>
          <w:szCs w:val="21"/>
        </w:rPr>
        <w:t>MAXXI</w:t>
      </w:r>
      <w:r w:rsidR="00AB0583">
        <w:rPr>
          <w:sz w:val="21"/>
          <w:szCs w:val="21"/>
        </w:rPr>
        <w:t xml:space="preserve"> e</w:t>
      </w:r>
      <w:r w:rsidR="00AB0583" w:rsidRPr="00AB0583">
        <w:rPr>
          <w:sz w:val="21"/>
          <w:szCs w:val="21"/>
        </w:rPr>
        <w:t xml:space="preserve"> Roma Arte in Nuvola, </w:t>
      </w:r>
      <w:r w:rsidR="00AB0583">
        <w:rPr>
          <w:sz w:val="21"/>
          <w:szCs w:val="21"/>
        </w:rPr>
        <w:t>parte</w:t>
      </w:r>
      <w:r w:rsidR="00AB0583" w:rsidRPr="00AB0583">
        <w:rPr>
          <w:sz w:val="21"/>
          <w:szCs w:val="21"/>
        </w:rPr>
        <w:t xml:space="preserve"> dell'ampia rete di relazioni che il </w:t>
      </w:r>
      <w:r w:rsidR="00AB0583">
        <w:rPr>
          <w:sz w:val="21"/>
          <w:szCs w:val="21"/>
        </w:rPr>
        <w:t>Museo nazionale delle arti del XXI secolo</w:t>
      </w:r>
      <w:r w:rsidR="00AB0583" w:rsidRPr="00AB0583">
        <w:rPr>
          <w:sz w:val="21"/>
          <w:szCs w:val="21"/>
        </w:rPr>
        <w:t xml:space="preserve"> ha </w:t>
      </w:r>
      <w:r w:rsidR="00782C6E">
        <w:rPr>
          <w:sz w:val="21"/>
          <w:szCs w:val="21"/>
        </w:rPr>
        <w:t>attivato</w:t>
      </w:r>
      <w:r w:rsidR="00AB0583" w:rsidRPr="00AB0583">
        <w:rPr>
          <w:sz w:val="21"/>
          <w:szCs w:val="21"/>
        </w:rPr>
        <w:t xml:space="preserve"> sin dalla sua nascita con le principali </w:t>
      </w:r>
      <w:r w:rsidR="008603D5">
        <w:rPr>
          <w:sz w:val="21"/>
          <w:szCs w:val="21"/>
        </w:rPr>
        <w:t>realtà</w:t>
      </w:r>
      <w:r w:rsidR="00AB0583" w:rsidRPr="00AB0583">
        <w:rPr>
          <w:sz w:val="21"/>
          <w:szCs w:val="21"/>
        </w:rPr>
        <w:t xml:space="preserve"> culturali attive nella Capitale. </w:t>
      </w:r>
    </w:p>
    <w:p w14:paraId="27E0BC34" w14:textId="77777777" w:rsidR="00AB0583" w:rsidRDefault="00AB0583" w:rsidP="00AB0583">
      <w:pPr>
        <w:pStyle w:val="Default"/>
        <w:rPr>
          <w:sz w:val="21"/>
          <w:szCs w:val="21"/>
        </w:rPr>
      </w:pPr>
      <w:r w:rsidRPr="00AB0583">
        <w:rPr>
          <w:sz w:val="21"/>
          <w:szCs w:val="21"/>
        </w:rPr>
        <w:t xml:space="preserve">Il MAXXI è un museo nazionale con vocazione internazionale, ma le sue radici affondano a Roma e per questo ha particolarmente a cuore la vitalità e la qualità dell’offerta culturale capitolina. </w:t>
      </w:r>
    </w:p>
    <w:p w14:paraId="73A0EA6F" w14:textId="77777777" w:rsidR="004D6B0C" w:rsidRPr="00AB0583" w:rsidRDefault="004D6B0C" w:rsidP="00AB0583">
      <w:pPr>
        <w:pStyle w:val="Default"/>
        <w:rPr>
          <w:sz w:val="21"/>
          <w:szCs w:val="21"/>
        </w:rPr>
      </w:pPr>
    </w:p>
    <w:p w14:paraId="7F4E9277" w14:textId="77777777" w:rsidR="001128BF" w:rsidRPr="00AB0583" w:rsidRDefault="00AB0583" w:rsidP="00AB0583">
      <w:pPr>
        <w:pStyle w:val="Default"/>
        <w:rPr>
          <w:sz w:val="21"/>
          <w:szCs w:val="21"/>
        </w:rPr>
      </w:pPr>
      <w:r w:rsidRPr="00AB0583">
        <w:rPr>
          <w:sz w:val="21"/>
          <w:szCs w:val="21"/>
        </w:rPr>
        <w:t xml:space="preserve">Questa collaborazione rappresenta un'importante occasione per esporre la Collezione </w:t>
      </w:r>
      <w:r w:rsidR="00782C6E">
        <w:rPr>
          <w:sz w:val="21"/>
          <w:szCs w:val="21"/>
        </w:rPr>
        <w:t>M</w:t>
      </w:r>
      <w:r w:rsidR="001128BF">
        <w:rPr>
          <w:sz w:val="21"/>
          <w:szCs w:val="21"/>
        </w:rPr>
        <w:t>AXXI fuori dagli spazi museali</w:t>
      </w:r>
      <w:r w:rsidRPr="00AB0583">
        <w:rPr>
          <w:sz w:val="21"/>
          <w:szCs w:val="21"/>
        </w:rPr>
        <w:t xml:space="preserve">, </w:t>
      </w:r>
      <w:r w:rsidR="001128BF">
        <w:rPr>
          <w:sz w:val="21"/>
          <w:szCs w:val="21"/>
        </w:rPr>
        <w:t>intercettando un pubblico sempre più vasto</w:t>
      </w:r>
      <w:r w:rsidRPr="00AB0583">
        <w:rPr>
          <w:sz w:val="21"/>
          <w:szCs w:val="21"/>
        </w:rPr>
        <w:t xml:space="preserve">. </w:t>
      </w:r>
    </w:p>
    <w:p w14:paraId="0455E009" w14:textId="77777777" w:rsidR="00AB0583" w:rsidRDefault="00AB0583" w:rsidP="00AB0583">
      <w:pPr>
        <w:pStyle w:val="Default"/>
        <w:rPr>
          <w:sz w:val="21"/>
          <w:szCs w:val="21"/>
        </w:rPr>
      </w:pPr>
      <w:r w:rsidRPr="00AB0583">
        <w:rPr>
          <w:sz w:val="21"/>
          <w:szCs w:val="21"/>
        </w:rPr>
        <w:t xml:space="preserve">Con Roma Arte in Nuvola, il </w:t>
      </w:r>
      <w:r w:rsidR="001128BF">
        <w:rPr>
          <w:sz w:val="21"/>
          <w:szCs w:val="21"/>
        </w:rPr>
        <w:t>MAXXI</w:t>
      </w:r>
      <w:r w:rsidRPr="00AB0583">
        <w:rPr>
          <w:sz w:val="21"/>
          <w:szCs w:val="21"/>
        </w:rPr>
        <w:t xml:space="preserve"> condivide alcuni obiettivi essenziali: la promozione e lo sviluppo della conoscenza della storia dell'arte contemporanea italiana e la diffusione di una visione aperta ai flussi della scena culturale internazionale. </w:t>
      </w:r>
    </w:p>
    <w:p w14:paraId="6D807609" w14:textId="77777777" w:rsidR="001128BF" w:rsidRPr="00AB0583" w:rsidRDefault="001128BF" w:rsidP="00AB0583">
      <w:pPr>
        <w:pStyle w:val="Default"/>
        <w:rPr>
          <w:sz w:val="21"/>
          <w:szCs w:val="21"/>
        </w:rPr>
      </w:pPr>
    </w:p>
    <w:p w14:paraId="743D1D05" w14:textId="77777777" w:rsidR="004D6B0C" w:rsidRDefault="00AB0583" w:rsidP="00AB0583">
      <w:pPr>
        <w:pStyle w:val="Default"/>
        <w:rPr>
          <w:sz w:val="21"/>
          <w:szCs w:val="21"/>
        </w:rPr>
      </w:pPr>
      <w:r w:rsidRPr="00AB0583">
        <w:rPr>
          <w:sz w:val="21"/>
          <w:szCs w:val="21"/>
        </w:rPr>
        <w:t xml:space="preserve">Per l'edizione di quest'anno sono state selezionate due opere dalla Collezione MAXXI, che saranno esposte negli spazi della Nuvola durante i giorni della Fiera: </w:t>
      </w:r>
      <w:r w:rsidR="004D6B0C" w:rsidRPr="008A7AEB">
        <w:rPr>
          <w:i/>
          <w:sz w:val="21"/>
          <w:szCs w:val="21"/>
        </w:rPr>
        <w:t>Aurora</w:t>
      </w:r>
      <w:r w:rsidR="004D6B0C">
        <w:rPr>
          <w:sz w:val="21"/>
          <w:szCs w:val="21"/>
        </w:rPr>
        <w:t xml:space="preserve"> (2003) di Mario Airò e </w:t>
      </w:r>
      <w:r w:rsidR="004D6B0C" w:rsidRPr="008A7AEB">
        <w:rPr>
          <w:i/>
          <w:sz w:val="21"/>
          <w:szCs w:val="21"/>
        </w:rPr>
        <w:t>Tre per Tre (Ognuno è l’altro o nessuno)</w:t>
      </w:r>
      <w:r w:rsidR="004D6B0C">
        <w:rPr>
          <w:sz w:val="21"/>
          <w:szCs w:val="21"/>
        </w:rPr>
        <w:t xml:space="preserve"> (1998</w:t>
      </w:r>
      <w:r w:rsidR="007A394E">
        <w:rPr>
          <w:sz w:val="21"/>
          <w:szCs w:val="21"/>
        </w:rPr>
        <w:t>-1999) di Giulio Paolini.</w:t>
      </w:r>
    </w:p>
    <w:p w14:paraId="678F3C6E" w14:textId="77777777" w:rsidR="008A7AEB" w:rsidRPr="008A7AEB" w:rsidRDefault="008A7AEB" w:rsidP="008A7AEB">
      <w:pPr>
        <w:pStyle w:val="Default"/>
        <w:rPr>
          <w:sz w:val="21"/>
          <w:szCs w:val="21"/>
        </w:rPr>
      </w:pPr>
    </w:p>
    <w:p w14:paraId="7D0E2C49" w14:textId="77777777" w:rsidR="008A7AEB" w:rsidRDefault="008A7AEB" w:rsidP="008A7AEB">
      <w:pPr>
        <w:pStyle w:val="Default"/>
        <w:rPr>
          <w:sz w:val="21"/>
          <w:szCs w:val="21"/>
        </w:rPr>
      </w:pPr>
      <w:r w:rsidRPr="008A7AEB">
        <w:rPr>
          <w:sz w:val="21"/>
          <w:szCs w:val="21"/>
        </w:rPr>
        <w:t xml:space="preserve">Allievo di Luciano Fabro presso l’Accademia di Belle Arti di Brera e tra i fondatori nel 1989 dello spazio culturale autogestito di via Lazzaro Palazzi 19 a Milano, Mario Airò fa parte di un gruppo di artisti venuti alla ribalta all’inizio degli anni Novanta. </w:t>
      </w:r>
    </w:p>
    <w:p w14:paraId="23C5F50A" w14:textId="77777777" w:rsidR="008A7AEB" w:rsidRDefault="008A7AEB" w:rsidP="008A7AEB">
      <w:pPr>
        <w:pStyle w:val="Default"/>
        <w:rPr>
          <w:sz w:val="21"/>
          <w:szCs w:val="21"/>
        </w:rPr>
      </w:pPr>
      <w:r w:rsidRPr="008A7AEB">
        <w:rPr>
          <w:sz w:val="21"/>
          <w:szCs w:val="21"/>
        </w:rPr>
        <w:t xml:space="preserve">Nella poetica dell’artista il ricorso al cinema, alla musica e alla letteratura si accompagna alla creazione di ambienti multisensoriali dove lo spettatore è indotto a un’esperienza percettiva e immersiva. </w:t>
      </w:r>
    </w:p>
    <w:p w14:paraId="7C5658AC" w14:textId="77777777" w:rsidR="004D6B0C" w:rsidRDefault="008A7AEB" w:rsidP="008A7AEB">
      <w:pPr>
        <w:pStyle w:val="Default"/>
        <w:rPr>
          <w:sz w:val="21"/>
          <w:szCs w:val="21"/>
        </w:rPr>
      </w:pPr>
      <w:r w:rsidRPr="008A7AEB">
        <w:rPr>
          <w:sz w:val="21"/>
          <w:szCs w:val="21"/>
        </w:rPr>
        <w:t xml:space="preserve">L’installazione luminosa </w:t>
      </w:r>
      <w:r w:rsidRPr="008A7AEB">
        <w:rPr>
          <w:i/>
          <w:sz w:val="21"/>
          <w:szCs w:val="21"/>
        </w:rPr>
        <w:t>Aurora</w:t>
      </w:r>
      <w:r w:rsidRPr="008A7AEB">
        <w:rPr>
          <w:sz w:val="21"/>
          <w:szCs w:val="21"/>
        </w:rPr>
        <w:t xml:space="preserve"> si compone di una mensola in legno appesa alla parete, dal bordo esterno sagomato come la linea d’orizzonte di un lontano paesaggio, e da un neon giallo, che la illumina dal retro. La luce evoca i diversi momenti dell’aurora, in un gioco che mette in cortocircuito la tridimensionalità di un’immagine stereotipata “da cartolina” con riferimenti alle ricerche dell’arte minimalista e concettuale.</w:t>
      </w:r>
    </w:p>
    <w:p w14:paraId="1794A8BC" w14:textId="77777777" w:rsidR="008A7AEB" w:rsidRDefault="008A7AEB" w:rsidP="008A7AEB">
      <w:pPr>
        <w:pStyle w:val="Default"/>
        <w:rPr>
          <w:sz w:val="21"/>
          <w:szCs w:val="21"/>
        </w:rPr>
      </w:pPr>
    </w:p>
    <w:p w14:paraId="3D19FDA7" w14:textId="77777777" w:rsidR="008A7AEB" w:rsidRDefault="008A7AEB" w:rsidP="008A7AEB">
      <w:pPr>
        <w:pStyle w:val="Default"/>
        <w:rPr>
          <w:sz w:val="21"/>
          <w:szCs w:val="21"/>
        </w:rPr>
      </w:pPr>
      <w:r w:rsidRPr="008A7AEB">
        <w:rPr>
          <w:sz w:val="21"/>
          <w:szCs w:val="21"/>
        </w:rPr>
        <w:t xml:space="preserve">Annoverato tra i protagonisti dell’Arte Povera, alle cui mostre storiche partecipa, Giulio Paolini si distingue per una ricerca più marcatamente concettuale e metalinguistica. </w:t>
      </w:r>
    </w:p>
    <w:p w14:paraId="2924C2D7" w14:textId="77777777" w:rsidR="008A7AEB" w:rsidRDefault="008A7AEB" w:rsidP="008A7AEB">
      <w:pPr>
        <w:pStyle w:val="Default"/>
        <w:rPr>
          <w:sz w:val="21"/>
          <w:szCs w:val="21"/>
        </w:rPr>
      </w:pPr>
      <w:r w:rsidRPr="008A7AEB">
        <w:rPr>
          <w:sz w:val="21"/>
          <w:szCs w:val="21"/>
        </w:rPr>
        <w:t xml:space="preserve">I suoi lavori, orientati ad indagare gli elementi costitutivi del linguaggio artistico, si propongono di ripristinare la circolarità nel rapporto tra autore, opera e pubblico, attraverso una frequente rilettura di pagine cardine della Storia dell’Arte. </w:t>
      </w:r>
    </w:p>
    <w:p w14:paraId="02537D6A" w14:textId="77777777" w:rsidR="008A7AEB" w:rsidRDefault="008A7AEB" w:rsidP="008A7AEB">
      <w:pPr>
        <w:pStyle w:val="Default"/>
        <w:rPr>
          <w:sz w:val="21"/>
          <w:szCs w:val="21"/>
        </w:rPr>
      </w:pPr>
      <w:r w:rsidRPr="008A7AEB">
        <w:rPr>
          <w:sz w:val="21"/>
          <w:szCs w:val="21"/>
        </w:rPr>
        <w:t xml:space="preserve">Al centro di </w:t>
      </w:r>
      <w:r w:rsidRPr="008A7AEB">
        <w:rPr>
          <w:i/>
          <w:sz w:val="21"/>
          <w:szCs w:val="21"/>
        </w:rPr>
        <w:t>Tre per Tre (Ognuno è l’altro o nessuno)</w:t>
      </w:r>
      <w:r w:rsidRPr="008A7AEB">
        <w:rPr>
          <w:sz w:val="21"/>
          <w:szCs w:val="21"/>
        </w:rPr>
        <w:t>, titolo dagli echi pirandelliani, sono la riflessione sulla storia dell’arte – in questo caso l’artista citato è Chardin, mentre in altri casi vengono riletti e riproposti diversi capolavori dei secoli passati – e la riflessione sui tre vertici del sistema dell’arte. L’Artista, che ritrae, il Modello, che è ritratto, lo Spettatore, che assiste: in questa triangolazione si gioca l’intero arco della dialettica artistica.</w:t>
      </w:r>
    </w:p>
    <w:p w14:paraId="57FEEDAD" w14:textId="77777777" w:rsidR="007A394E" w:rsidRDefault="007A394E" w:rsidP="008A7AEB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L’opera è parte della Collezione MAXXI grazie a un comodato pluriennale con </w:t>
      </w:r>
      <w:r w:rsidRPr="007A394E">
        <w:rPr>
          <w:sz w:val="21"/>
          <w:szCs w:val="21"/>
        </w:rPr>
        <w:t>UniCredit Art Collection</w:t>
      </w:r>
      <w:r>
        <w:rPr>
          <w:sz w:val="21"/>
          <w:szCs w:val="21"/>
        </w:rPr>
        <w:t xml:space="preserve">. </w:t>
      </w:r>
    </w:p>
    <w:p w14:paraId="69F0D918" w14:textId="77777777" w:rsidR="007A394E" w:rsidRDefault="007A394E" w:rsidP="008A7AEB">
      <w:pPr>
        <w:pStyle w:val="Default"/>
        <w:rPr>
          <w:sz w:val="21"/>
          <w:szCs w:val="21"/>
        </w:rPr>
      </w:pPr>
    </w:p>
    <w:p w14:paraId="57C556FE" w14:textId="77777777" w:rsidR="00774509" w:rsidRDefault="00774509" w:rsidP="00774509">
      <w:pPr>
        <w:shd w:val="clear" w:color="auto" w:fill="FFFFFF"/>
        <w:spacing w:after="0" w:line="240" w:lineRule="auto"/>
        <w:rPr>
          <w:rFonts w:ascii="Arial" w:eastAsia="Arial" w:hAnsi="Arial" w:cs="Arial"/>
          <w:sz w:val="21"/>
          <w:szCs w:val="21"/>
        </w:rPr>
      </w:pPr>
    </w:p>
    <w:p w14:paraId="48A72FFB" w14:textId="77777777" w:rsidR="00774509" w:rsidRDefault="00774509" w:rsidP="00774509">
      <w:pPr>
        <w:shd w:val="clear" w:color="auto" w:fill="FFFFFF"/>
        <w:spacing w:after="0" w:line="240" w:lineRule="auto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UFFICIO STAMPA </w:t>
      </w:r>
      <w:proofErr w:type="gramStart"/>
      <w:r>
        <w:rPr>
          <w:rFonts w:ascii="Arial" w:eastAsia="Arial" w:hAnsi="Arial" w:cs="Arial"/>
          <w:b/>
          <w:color w:val="000000"/>
          <w:sz w:val="21"/>
          <w:szCs w:val="21"/>
        </w:rPr>
        <w:t>MAXXI</w:t>
      </w:r>
      <w:r>
        <w:rPr>
          <w:rFonts w:ascii="Arial" w:eastAsia="Arial" w:hAnsi="Arial" w:cs="Arial"/>
          <w:color w:val="000000"/>
          <w:sz w:val="21"/>
          <w:szCs w:val="21"/>
        </w:rPr>
        <w:t xml:space="preserve">  pres</w:t>
      </w:r>
      <w:r w:rsidR="00AB0583">
        <w:rPr>
          <w:rFonts w:ascii="Arial" w:eastAsia="Arial" w:hAnsi="Arial" w:cs="Arial"/>
          <w:color w:val="000000"/>
          <w:sz w:val="21"/>
          <w:szCs w:val="21"/>
        </w:rPr>
        <w:t>s@fondazionemaxxi.it</w:t>
      </w:r>
      <w:proofErr w:type="gramEnd"/>
      <w:r w:rsidR="00AB0583">
        <w:rPr>
          <w:rFonts w:ascii="Arial" w:eastAsia="Arial" w:hAnsi="Arial" w:cs="Arial"/>
          <w:color w:val="000000"/>
          <w:sz w:val="21"/>
          <w:szCs w:val="21"/>
        </w:rPr>
        <w:t xml:space="preserve">   tel. +39 06</w:t>
      </w:r>
      <w:r>
        <w:rPr>
          <w:rFonts w:ascii="Arial" w:eastAsia="Arial" w:hAnsi="Arial" w:cs="Arial"/>
          <w:color w:val="000000"/>
          <w:sz w:val="21"/>
          <w:szCs w:val="21"/>
        </w:rPr>
        <w:t>324861</w:t>
      </w:r>
    </w:p>
    <w:p w14:paraId="50E884A1" w14:textId="77777777" w:rsidR="00613358" w:rsidRDefault="00613358">
      <w:pPr>
        <w:tabs>
          <w:tab w:val="left" w:pos="5560"/>
        </w:tabs>
        <w:rPr>
          <w:rFonts w:ascii="Arial" w:eastAsia="Arial" w:hAnsi="Arial" w:cs="Arial"/>
          <w:sz w:val="21"/>
          <w:szCs w:val="21"/>
        </w:rPr>
      </w:pPr>
    </w:p>
    <w:sectPr w:rsidR="00613358" w:rsidSect="00613358">
      <w:headerReference w:type="default" r:id="rId7"/>
      <w:footerReference w:type="default" r:id="rId8"/>
      <w:pgSz w:w="11906" w:h="16838"/>
      <w:pgMar w:top="1701" w:right="1701" w:bottom="0" w:left="1814" w:header="1701" w:footer="136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65425" w14:textId="77777777" w:rsidR="00AB0583" w:rsidRDefault="00AB0583" w:rsidP="00613358">
      <w:pPr>
        <w:spacing w:after="0" w:line="240" w:lineRule="auto"/>
      </w:pPr>
      <w:r>
        <w:separator/>
      </w:r>
    </w:p>
  </w:endnote>
  <w:endnote w:type="continuationSeparator" w:id="0">
    <w:p w14:paraId="53964709" w14:textId="77777777" w:rsidR="00AB0583" w:rsidRDefault="00AB0583" w:rsidP="00613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4126" w14:textId="77777777" w:rsidR="00AB0583" w:rsidRDefault="00AB05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ambria" w:eastAsia="Cambria" w:hAnsi="Cambria" w:cs="Cambria"/>
        <w:color w:val="000000"/>
        <w:sz w:val="15"/>
        <w:szCs w:val="15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1F6515C2" wp14:editId="040082E8">
          <wp:simplePos x="0" y="0"/>
          <wp:positionH relativeFrom="column">
            <wp:posOffset>-1139188</wp:posOffset>
          </wp:positionH>
          <wp:positionV relativeFrom="paragraph">
            <wp:posOffset>118472</wp:posOffset>
          </wp:positionV>
          <wp:extent cx="7559675" cy="1078141"/>
          <wp:effectExtent l="0" t="0" r="0" b="0"/>
          <wp:wrapNone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0781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BE48DC" w14:textId="77777777" w:rsidR="00AB0583" w:rsidRDefault="00AB05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ambria" w:eastAsia="Cambria" w:hAnsi="Cambria" w:cs="Cambria"/>
        <w:color w:val="000000"/>
        <w:sz w:val="15"/>
        <w:szCs w:val="15"/>
      </w:rPr>
    </w:pPr>
  </w:p>
  <w:p w14:paraId="43FE1C14" w14:textId="77777777" w:rsidR="00AB0583" w:rsidRDefault="00B36B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rFonts w:ascii="Cambria" w:eastAsia="Cambria" w:hAnsi="Cambria" w:cs="Cambria"/>
        <w:color w:val="000000"/>
        <w:sz w:val="18"/>
        <w:szCs w:val="18"/>
      </w:rPr>
    </w:pPr>
    <w:r>
      <w:rPr>
        <w:rFonts w:ascii="Cambria" w:eastAsia="Cambria" w:hAnsi="Cambria" w:cs="Cambria"/>
        <w:color w:val="000000"/>
        <w:sz w:val="18"/>
        <w:szCs w:val="18"/>
      </w:rPr>
      <w:fldChar w:fldCharType="begin"/>
    </w:r>
    <w:r w:rsidR="00AB0583">
      <w:rPr>
        <w:rFonts w:ascii="Cambria" w:eastAsia="Cambria" w:hAnsi="Cambria" w:cs="Cambria"/>
        <w:color w:val="000000"/>
        <w:sz w:val="18"/>
        <w:szCs w:val="18"/>
      </w:rPr>
      <w:instrText>PAGE</w:instrText>
    </w:r>
    <w:r>
      <w:rPr>
        <w:rFonts w:ascii="Cambria" w:eastAsia="Cambria" w:hAnsi="Cambria" w:cs="Cambria"/>
        <w:color w:val="000000"/>
        <w:sz w:val="18"/>
        <w:szCs w:val="18"/>
      </w:rPr>
      <w:fldChar w:fldCharType="separate"/>
    </w:r>
    <w:r w:rsidR="00393A3A">
      <w:rPr>
        <w:rFonts w:ascii="Cambria" w:eastAsia="Cambria" w:hAnsi="Cambria" w:cs="Cambria"/>
        <w:noProof/>
        <w:color w:val="000000"/>
        <w:sz w:val="18"/>
        <w:szCs w:val="18"/>
      </w:rPr>
      <w:t>1</w:t>
    </w:r>
    <w:r>
      <w:rPr>
        <w:rFonts w:ascii="Cambria" w:eastAsia="Cambria" w:hAnsi="Cambria" w:cs="Cambria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B9176" w14:textId="77777777" w:rsidR="00AB0583" w:rsidRDefault="00AB0583" w:rsidP="00613358">
      <w:pPr>
        <w:spacing w:after="0" w:line="240" w:lineRule="auto"/>
      </w:pPr>
      <w:r>
        <w:separator/>
      </w:r>
    </w:p>
  </w:footnote>
  <w:footnote w:type="continuationSeparator" w:id="0">
    <w:p w14:paraId="3438EC08" w14:textId="77777777" w:rsidR="00AB0583" w:rsidRDefault="00AB0583" w:rsidP="00613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90047" w14:textId="77777777" w:rsidR="00AB0583" w:rsidRDefault="00AB05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7B83F146" wp14:editId="0FCBFAE6">
          <wp:simplePos x="0" y="0"/>
          <wp:positionH relativeFrom="page">
            <wp:align>left</wp:align>
          </wp:positionH>
          <wp:positionV relativeFrom="page">
            <wp:posOffset>-633</wp:posOffset>
          </wp:positionV>
          <wp:extent cx="7559992" cy="1079128"/>
          <wp:effectExtent l="0" t="0" r="0" b="0"/>
          <wp:wrapSquare wrapText="bothSides" distT="0" distB="0" distL="114300" distR="114300"/>
          <wp:docPr id="1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992" cy="10791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358"/>
    <w:rsid w:val="00060BDB"/>
    <w:rsid w:val="0009360F"/>
    <w:rsid w:val="001128BF"/>
    <w:rsid w:val="00171C2D"/>
    <w:rsid w:val="001923AE"/>
    <w:rsid w:val="00260270"/>
    <w:rsid w:val="00383B30"/>
    <w:rsid w:val="00393A3A"/>
    <w:rsid w:val="00420968"/>
    <w:rsid w:val="004D6B0C"/>
    <w:rsid w:val="00552581"/>
    <w:rsid w:val="00564699"/>
    <w:rsid w:val="005D16AC"/>
    <w:rsid w:val="00613358"/>
    <w:rsid w:val="00696AA8"/>
    <w:rsid w:val="006B1ADA"/>
    <w:rsid w:val="00774509"/>
    <w:rsid w:val="00782C6E"/>
    <w:rsid w:val="007A394E"/>
    <w:rsid w:val="0081639D"/>
    <w:rsid w:val="008603D5"/>
    <w:rsid w:val="0087332F"/>
    <w:rsid w:val="008A7AEB"/>
    <w:rsid w:val="008F2962"/>
    <w:rsid w:val="00965CB6"/>
    <w:rsid w:val="009D532B"/>
    <w:rsid w:val="009E2950"/>
    <w:rsid w:val="00A404D2"/>
    <w:rsid w:val="00AB0583"/>
    <w:rsid w:val="00B36BE2"/>
    <w:rsid w:val="00CB096A"/>
    <w:rsid w:val="00CC1CD3"/>
    <w:rsid w:val="00D61DFC"/>
    <w:rsid w:val="00D96891"/>
    <w:rsid w:val="00E45D3E"/>
    <w:rsid w:val="00F64B33"/>
    <w:rsid w:val="00F96C40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BCFAC"/>
  <w15:docId w15:val="{65CED7C5-5243-4518-B307-E880D269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5FE2"/>
  </w:style>
  <w:style w:type="paragraph" w:styleId="Titolo1">
    <w:name w:val="heading 1"/>
    <w:basedOn w:val="Normale1"/>
    <w:next w:val="Normale1"/>
    <w:rsid w:val="00E05F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E05FE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E05F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05FE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05FE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E05F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0">
    <w:name w:val="Normale1"/>
    <w:rsid w:val="00613358"/>
  </w:style>
  <w:style w:type="table" w:customStyle="1" w:styleId="TableNormal">
    <w:name w:val="Table Normal"/>
    <w:rsid w:val="0061335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05FE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E05FE2"/>
  </w:style>
  <w:style w:type="table" w:customStyle="1" w:styleId="TableNormal0">
    <w:name w:val="Table Normal"/>
    <w:rsid w:val="00E05F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paragraph" w:styleId="Sottotitolo">
    <w:name w:val="Subtitle"/>
    <w:basedOn w:val="Normale10"/>
    <w:next w:val="Normale10"/>
    <w:rsid w:val="0061335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eWeb">
    <w:name w:val="Normal (Web)"/>
    <w:basedOn w:val="Normale"/>
    <w:uiPriority w:val="99"/>
    <w:semiHidden/>
    <w:unhideWhenUsed/>
    <w:rsid w:val="00BD5164"/>
    <w:rPr>
      <w:rFonts w:ascii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B406B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F97A40"/>
    <w:rPr>
      <w:b/>
      <w:bCs/>
    </w:rPr>
  </w:style>
  <w:style w:type="paragraph" w:customStyle="1" w:styleId="Default">
    <w:name w:val="Default"/>
    <w:rsid w:val="00AB058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5kkNerJ/Vb4elRdUbb1AkzeG5g==">CgMxLjA4AHIhMVZ3aUZDRXRjZUdqVWdSV05mUnQ0VTdQSXZCTDN6WDZ5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Simona Sanfilippo</cp:lastModifiedBy>
  <cp:revision>15</cp:revision>
  <cp:lastPrinted>2025-05-29T12:04:00Z</cp:lastPrinted>
  <dcterms:created xsi:type="dcterms:W3CDTF">2025-05-29T07:17:00Z</dcterms:created>
  <dcterms:modified xsi:type="dcterms:W3CDTF">2025-10-13T15:10:00Z</dcterms:modified>
</cp:coreProperties>
</file>